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9" w:rsidRPr="00E61FE1" w:rsidRDefault="00E61FE1" w:rsidP="004F7969">
      <w:pPr>
        <w:pStyle w:val="null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61FE1">
        <w:rPr>
          <w:b/>
          <w:bCs/>
          <w:sz w:val="28"/>
          <w:szCs w:val="28"/>
        </w:rPr>
        <w:t>Информация по производственному контролю атмосферного воздуха в санитарной защитной зоне ООО «СИБУР-Кстово» и на территориях, попадающих под влияние от ист</w:t>
      </w:r>
      <w:r>
        <w:rPr>
          <w:b/>
          <w:bCs/>
          <w:sz w:val="28"/>
          <w:szCs w:val="28"/>
        </w:rPr>
        <w:t>очников выбросов</w:t>
      </w:r>
    </w:p>
    <w:p w:rsidR="004F7969" w:rsidRDefault="004F7969" w:rsidP="004F7969">
      <w:pPr>
        <w:pStyle w:val="null"/>
        <w:spacing w:before="0" w:beforeAutospacing="0" w:after="0" w:afterAutospacing="0"/>
        <w:jc w:val="both"/>
        <w:rPr>
          <w:b/>
          <w:bCs/>
        </w:rPr>
      </w:pPr>
    </w:p>
    <w:p w:rsidR="00DF5589" w:rsidRDefault="00E61FE1" w:rsidP="00E61FE1">
      <w:pPr>
        <w:pStyle w:val="null"/>
        <w:jc w:val="both"/>
      </w:pPr>
      <w:r>
        <w:t xml:space="preserve">Результаты замеров содержания загрязняющих веществ в атмосферном воздухе на границе санитарно-защитной зоны </w:t>
      </w:r>
      <w:r w:rsidR="00DF5589">
        <w:t xml:space="preserve">(СЗЗ) </w:t>
      </w:r>
      <w:r>
        <w:t xml:space="preserve">производств </w:t>
      </w:r>
      <w:r>
        <w:t xml:space="preserve">ООО «СИБУР-Кстово» </w:t>
      </w:r>
      <w:r>
        <w:t xml:space="preserve">за период с 01.01.2020 по 16.07.2020, </w:t>
      </w:r>
      <w:r w:rsidR="00DF5589">
        <w:t>выполненных аккредитованной лабораторией ФБУЗ «Центр гигиены и эпидемиологии в Нижегородской области».</w:t>
      </w:r>
    </w:p>
    <w:p w:rsidR="00DF5589" w:rsidRDefault="00DF5589" w:rsidP="00DF5589">
      <w:pPr>
        <w:pStyle w:val="null"/>
        <w:jc w:val="both"/>
      </w:pPr>
      <w:r>
        <w:t xml:space="preserve">Данная информация </w:t>
      </w:r>
      <w:r>
        <w:t>подтвержда</w:t>
      </w:r>
      <w:r>
        <w:t>ет</w:t>
      </w:r>
      <w:r>
        <w:t xml:space="preserve"> отсутствие превышений предельно-допустимых концентраций (ПДК) по контролируемым веществам</w:t>
      </w:r>
      <w:r>
        <w:t xml:space="preserve"> и х</w:t>
      </w:r>
      <w:r>
        <w:t>арактеризует качество атмосферного воздуха на границе санитарно-защитной зоны производств ООО «СИБУР-Кстово»</w:t>
      </w:r>
      <w:r>
        <w:t xml:space="preserve"> </w:t>
      </w:r>
      <w:r>
        <w:t xml:space="preserve"> </w:t>
      </w:r>
    </w:p>
    <w:p w:rsidR="00E61FE1" w:rsidRDefault="00E61FE1" w:rsidP="00E61FE1">
      <w:pPr>
        <w:pStyle w:val="null"/>
        <w:jc w:val="both"/>
      </w:pPr>
      <w:r>
        <w:t xml:space="preserve">С января 2020 </w:t>
      </w:r>
      <w:r w:rsidR="00DF5589">
        <w:t xml:space="preserve">по договору с ООО «СИБУР-Кстово» </w:t>
      </w:r>
      <w:r w:rsidR="00DF5589" w:rsidRPr="00DF5589">
        <w:t>аккредитованной лабораторией ФБУЗ «Центр гигиены и эпидеми</w:t>
      </w:r>
      <w:r w:rsidR="00DF5589">
        <w:t xml:space="preserve">ологии в Нижегородской области» </w:t>
      </w:r>
      <w:r>
        <w:t>проведено 978 испытаний</w:t>
      </w:r>
      <w:r w:rsidR="00DF5589">
        <w:t>,</w:t>
      </w:r>
      <w:r>
        <w:t xml:space="preserve"> на основе которых получено 326 замеров. </w:t>
      </w:r>
    </w:p>
    <w:p w:rsidR="00A06D90" w:rsidRDefault="00A06D90" w:rsidP="00A06D90">
      <w:pPr>
        <w:pStyle w:val="null"/>
        <w:spacing w:before="0" w:beforeAutospacing="0" w:after="0" w:afterAutospacing="0"/>
        <w:jc w:val="both"/>
      </w:pPr>
      <w:bookmarkStart w:id="0" w:name="_GoBack"/>
      <w:bookmarkEnd w:id="0"/>
    </w:p>
    <w:tbl>
      <w:tblPr>
        <w:tblW w:w="4912" w:type="pct"/>
        <w:tblInd w:w="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53"/>
        <w:gridCol w:w="1626"/>
        <w:gridCol w:w="1937"/>
        <w:gridCol w:w="1933"/>
      </w:tblGrid>
      <w:tr w:rsidR="00A06D90" w:rsidTr="00277F03"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Определяемые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Единицы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Средний результат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исследований 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ПДК,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Концентрация оксида азота (</w:t>
            </w:r>
            <w:r>
              <w:rPr>
                <w:rStyle w:val="null1"/>
                <w:lang w:val="en-US" w:eastAsia="en-US"/>
              </w:rPr>
              <w:t>NO</w:t>
            </w:r>
            <w:r>
              <w:rPr>
                <w:lang w:eastAsia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null1"/>
                <w:lang w:val="en-US" w:eastAsia="en-US"/>
              </w:rPr>
              <w:t>0,005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0,4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Концентрация диоксида азота (</w:t>
            </w:r>
            <w:r>
              <w:rPr>
                <w:rStyle w:val="null1"/>
                <w:lang w:val="en-US" w:eastAsia="en-US"/>
              </w:rPr>
              <w:t>NO</w:t>
            </w:r>
            <w:r>
              <w:rPr>
                <w:rStyle w:val="null1"/>
                <w:vertAlign w:val="subscript"/>
                <w:lang w:val="en-US" w:eastAsia="en-US"/>
              </w:rPr>
              <w:t>2</w:t>
            </w:r>
            <w:r>
              <w:rPr>
                <w:rStyle w:val="null1"/>
                <w:lang w:val="en-US" w:eastAsia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0,2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диоксида серы (</w:t>
            </w:r>
            <w:r>
              <w:rPr>
                <w:rStyle w:val="null1"/>
                <w:lang w:val="en-US" w:eastAsia="en-US"/>
              </w:rPr>
              <w:t>SO</w:t>
            </w:r>
            <w:r>
              <w:rPr>
                <w:rStyle w:val="null1"/>
                <w:vertAlign w:val="subscript"/>
                <w:lang w:val="en-US" w:eastAsia="en-US"/>
              </w:rPr>
              <w:t>2</w:t>
            </w:r>
            <w:r>
              <w:rPr>
                <w:rStyle w:val="null1"/>
                <w:lang w:val="en-US" w:eastAsia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0,5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монооксида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углерода (СО)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0,804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5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Массовая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концентрация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бензола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0,3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Массовая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концентрация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толуола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0,6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Массовая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концентрация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0,3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Массовая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концентрация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0,2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Углеводороды предельные и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непредельные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>-С</w:t>
            </w:r>
            <w:r>
              <w:rPr>
                <w:vertAlign w:val="subscript"/>
                <w:lang w:eastAsia="en-US"/>
              </w:rPr>
              <w:t>5</w:t>
            </w:r>
            <w:r>
              <w:rPr>
                <w:lang w:eastAsia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1,315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50 (по метану)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Углеводороды предельные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>
              <w:rPr>
                <w:vertAlign w:val="subscript"/>
                <w:lang w:eastAsia="en-US"/>
              </w:rPr>
              <w:t>6</w:t>
            </w:r>
            <w:r>
              <w:rPr>
                <w:lang w:eastAsia="en-US"/>
              </w:rPr>
              <w:t>-С</w:t>
            </w:r>
            <w:r>
              <w:rPr>
                <w:vertAlign w:val="subscript"/>
                <w:lang w:eastAsia="en-US"/>
              </w:rPr>
              <w:t>10</w:t>
            </w:r>
            <w:r>
              <w:rPr>
                <w:lang w:eastAsia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 1,0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более 5 </w:t>
            </w:r>
          </w:p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(по </w:t>
            </w:r>
            <w:proofErr w:type="spellStart"/>
            <w:r>
              <w:rPr>
                <w:lang w:eastAsia="en-US"/>
              </w:rPr>
              <w:t>гексану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Этилбензол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 0,03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</w:tr>
      <w:tr w:rsidR="00A06D90" w:rsidTr="00277F03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Сажа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мг/м3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&lt; 0,01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D90" w:rsidRDefault="00A06D90" w:rsidP="00277F03">
            <w:pPr>
              <w:pStyle w:val="null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</w:tr>
    </w:tbl>
    <w:p w:rsidR="00A06D90" w:rsidRDefault="00A06D90" w:rsidP="00A06D90">
      <w:pPr>
        <w:pStyle w:val="null"/>
        <w:spacing w:before="0" w:beforeAutospacing="0" w:after="0" w:afterAutospacing="0"/>
        <w:jc w:val="both"/>
      </w:pPr>
      <w:r>
        <w:rPr>
          <w:rStyle w:val="null1"/>
        </w:rPr>
        <w:lastRenderedPageBreak/>
        <w:t> </w:t>
      </w:r>
    </w:p>
    <w:p w:rsidR="00A06D90" w:rsidRDefault="00A06D90" w:rsidP="00A06D90">
      <w:pPr>
        <w:pStyle w:val="null"/>
        <w:spacing w:before="0" w:beforeAutospacing="0" w:after="0" w:afterAutospacing="0"/>
        <w:jc w:val="both"/>
      </w:pPr>
      <w:r>
        <w:t> Превышения ПДК по контролируемым веществам не выявлено.</w:t>
      </w:r>
    </w:p>
    <w:sectPr w:rsidR="00A06D90" w:rsidSect="008B6C2C">
      <w:pgSz w:w="11900" w:h="16840"/>
      <w:pgMar w:top="1276" w:right="701" w:bottom="1134" w:left="1418" w:header="85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69"/>
    <w:rsid w:val="004F7969"/>
    <w:rsid w:val="00547C93"/>
    <w:rsid w:val="00742E0F"/>
    <w:rsid w:val="00A06D90"/>
    <w:rsid w:val="00DF5589"/>
    <w:rsid w:val="00E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ED29"/>
  <w15:chartTrackingRefBased/>
  <w15:docId w15:val="{D00966DB-FF70-464A-9D44-B1837CC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69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">
    <w:name w:val="null"/>
    <w:basedOn w:val="a"/>
    <w:rsid w:val="004F7969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null1">
    <w:name w:val="null1"/>
    <w:basedOn w:val="a0"/>
    <w:rsid w:val="004F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Шадымов Дмитрий Владимирович</dc:creator>
  <cp:keywords/>
  <dc:description/>
  <cp:lastModifiedBy>Шадымов Дмитрий Владимирович</cp:lastModifiedBy>
  <cp:revision>3</cp:revision>
  <dcterms:created xsi:type="dcterms:W3CDTF">2020-07-27T09:58:00Z</dcterms:created>
  <dcterms:modified xsi:type="dcterms:W3CDTF">2020-07-27T10:04:00Z</dcterms:modified>
</cp:coreProperties>
</file>